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Cs/>
          <w:sz w:val="24"/>
          <w:szCs w:val="24"/>
        </w:rPr>
        <w:t>МБУ ДО "ВАСИЛЬЕВСКАЯ ДЕТСКАЯ ШКОЛА ИСКУССТВ"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173F">
        <w:rPr>
          <w:rFonts w:ascii="Times New Roman" w:eastAsia="Times New Roman" w:hAnsi="Times New Roman" w:cs="Times New Roman"/>
          <w:b/>
          <w:bCs/>
          <w:sz w:val="32"/>
          <w:szCs w:val="32"/>
        </w:rPr>
        <w:t>«ГИТАРА»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– </w:t>
      </w:r>
      <w:r w:rsidR="00BB6691">
        <w:rPr>
          <w:rFonts w:ascii="Times New Roman" w:eastAsia="Times New Roman" w:hAnsi="Times New Roman" w:cs="Times New Roman"/>
          <w:sz w:val="28"/>
          <w:szCs w:val="28"/>
        </w:rPr>
        <w:t>4 года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Учебно-тематический план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программы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23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Методической пособия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27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литература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28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4173F" w:rsidRPr="00B4173F" w:rsidRDefault="00B4173F" w:rsidP="00B4173F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Программа учебного предмета «Гитара» разработана в соответствии с основными нормативными документами в сфере образования: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Письмом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РФ от 11.12. 2006 №06-1844 «О примерных требованиях к программам дополнительного образования детей»;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«Рекомендаций по организации образовательной и методической деятельности при реализации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общеразвивающих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 в области искусств», направленных письмом Министерства культуры Российской Федерации от 19.11.2013 №191-01-39/06-ГИ;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Приказа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Минпросвещения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Примерной программой для детских музыкальных школ и музыкальных отделений ДШИ Министерства культуры РФ, Москва, 2006 г. «Музыкальный инструмент. Гитара»;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Отвечает санитарным правилам и нормам: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СанПиН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Федеральной службой по надзору в сфере прав и благополучия человека № 77.99.32.953 Т 0000 12.04.12).</w:t>
      </w:r>
    </w:p>
    <w:p w:rsidR="00B4173F" w:rsidRPr="00B4173F" w:rsidRDefault="00B4173F" w:rsidP="00B4173F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имеет </w:t>
      </w:r>
      <w:proofErr w:type="spellStart"/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направленность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, основывается на принципе 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вариативности образования для различных возрастных категорий детей и молодёжи.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Данная программа направлена на: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создание условий для развития личности ребёнка;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обеспечение эмоционального благополучия ребёнка;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вовлечение обучающихся в исполнительскую деятельность, формирование их мотивации к занятиям музыкой;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создание условий для социального, культурного и профессионального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самоопределения, творческой самореализации личности ребёнка, его интеграции в системе мировой и отечественной культуры;</w:t>
      </w:r>
    </w:p>
    <w:p w:rsidR="00B4173F" w:rsidRPr="00B4173F" w:rsidRDefault="00B4173F" w:rsidP="00B4173F">
      <w:pPr>
        <w:numPr>
          <w:ilvl w:val="0"/>
          <w:numId w:val="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формирование общей культуры; расширение кругозора;</w:t>
      </w:r>
    </w:p>
    <w:p w:rsidR="00B4173F" w:rsidRPr="00B4173F" w:rsidRDefault="00B4173F" w:rsidP="00B4173F">
      <w:pPr>
        <w:numPr>
          <w:ilvl w:val="0"/>
          <w:numId w:val="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накопление социального опыта; коммуникативных навыков;</w:t>
      </w:r>
    </w:p>
    <w:p w:rsidR="00B4173F" w:rsidRPr="00B4173F" w:rsidRDefault="00B4173F" w:rsidP="00B4173F">
      <w:pPr>
        <w:numPr>
          <w:ilvl w:val="0"/>
          <w:numId w:val="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взаимодействие преподавателя с семьёй обучающихся.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разработка и реализация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«Гитара»</w:t>
      </w:r>
      <w:r w:rsidRPr="00B4173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173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представляется нам </w:t>
      </w:r>
      <w:r w:rsidRPr="00B417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актуальной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 и практически значимой.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Цель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программы - овладение знаниями и представлениями о гитарном исполнительстве, формирование практических умений и навыков игры на инструменте.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B4173F" w:rsidRPr="00B4173F" w:rsidRDefault="00B4173F" w:rsidP="00B4173F">
      <w:pPr>
        <w:numPr>
          <w:ilvl w:val="0"/>
          <w:numId w:val="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развитие и закрепление навыков игры на гитаре, приемов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4173F" w:rsidRPr="00B4173F" w:rsidRDefault="00B4173F" w:rsidP="00B4173F">
      <w:pPr>
        <w:numPr>
          <w:ilvl w:val="0"/>
          <w:numId w:val="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навыков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: подбор мелодий по слуху, исполнение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несложных аккомпанементов, умения играть в ансамбле, читать с листа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Отличительные особенности программы.</w:t>
      </w:r>
    </w:p>
    <w:p w:rsidR="00B4173F" w:rsidRPr="00B4173F" w:rsidRDefault="00B4173F" w:rsidP="00B4173F">
      <w:pPr>
        <w:numPr>
          <w:ilvl w:val="0"/>
          <w:numId w:val="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Реализуется посредством обеспечения для детей свободного выбора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искусства. Предполагает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достаточную свободу в выборе репертуара и развитие интересов детей, не ориентированных на дальнейшее профессиональное обучение, но желающих получить навыки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4173F" w:rsidRPr="00B4173F" w:rsidRDefault="00B4173F" w:rsidP="00B4173F">
      <w:pPr>
        <w:numPr>
          <w:ilvl w:val="0"/>
          <w:numId w:val="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Возможность корректировки на любой стадии освоения обучающимися содержания программы, посредством изменения объёма и уровня сложности музыкального репертуара;</w:t>
      </w:r>
    </w:p>
    <w:p w:rsidR="00B4173F" w:rsidRPr="00B4173F" w:rsidRDefault="00B4173F" w:rsidP="00B4173F">
      <w:pPr>
        <w:numPr>
          <w:ilvl w:val="0"/>
          <w:numId w:val="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 наличии достаточного уровня развития творческих способностей ребёнка, возможность его перевода с дополнительной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искусств на обучение по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предпрофессиональной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программе в области искусств;</w:t>
      </w:r>
    </w:p>
    <w:p w:rsidR="00B4173F" w:rsidRPr="00B4173F" w:rsidRDefault="00B4173F" w:rsidP="00B4173F">
      <w:pPr>
        <w:numPr>
          <w:ilvl w:val="0"/>
          <w:numId w:val="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свободный выход в Интернет и использование в процессе проведения учебных 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внеучебных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занятий интернет – ресурсов: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 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адресована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обучающимся народного отдела в возрасте от 7 до 17 лет. Срок реализации программы – </w:t>
      </w:r>
      <w:r w:rsidR="00335A67">
        <w:rPr>
          <w:rFonts w:ascii="Times New Roman" w:eastAsia="Times New Roman" w:hAnsi="Times New Roman" w:cs="Times New Roman"/>
          <w:sz w:val="27"/>
          <w:szCs w:val="27"/>
        </w:rPr>
        <w:t>4 года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. Недельная нагрузка: 2 учебных часа. Продолжительнос</w:t>
      </w:r>
      <w:r w:rsidR="00335A67">
        <w:rPr>
          <w:rFonts w:ascii="Times New Roman" w:eastAsia="Times New Roman" w:hAnsi="Times New Roman" w:cs="Times New Roman"/>
          <w:sz w:val="27"/>
          <w:szCs w:val="27"/>
        </w:rPr>
        <w:t xml:space="preserve">ть одного урока - 45 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минут (один академический час).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режим занятий.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Занятия проводятся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очно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в форме индивидуального урока, который является основной формой организации учебной деятельности обучающихся.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 случае введения ограничительных мероприятий (карантин, актированные дни, самоизоляция и т.п.), реализация программы обеспечивается дистанционно, с применением информационно-телекоммуникационных сетей при опосредованном (на расстоянии) взаимодействии обучающихся и преподавателя. Формы ДОТ: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on-line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уроки;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on-line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тестирование;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е-mail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 Skype-общение; WhatApp-общение;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Viber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- общение; видеоконференции;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вебинары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 дистанционные конкурсы, олимпиады и пр.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Результатом освоения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музыкального искусства является приобретение обучающимися следующих знаний, умений и навыков в области исполнительской подготовки:</w:t>
      </w:r>
    </w:p>
    <w:p w:rsidR="00B4173F" w:rsidRPr="00B4173F" w:rsidRDefault="00B4173F" w:rsidP="00B4173F">
      <w:pPr>
        <w:numPr>
          <w:ilvl w:val="0"/>
          <w:numId w:val="1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 исполнения музыкальных произведений (сольное исполнение,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коллективное исполнение) на музыкальном инструменте,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умений использовать выразительные средства для создания художественного образа;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умений самостоятельно разучивать музыкальные произведения различных жанров и стилей;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 публичных выступлений;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навыков общения со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слушательской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аудиторией в условиях музыкально- просветительской деятельности образовательной организации;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навыков транспонирования, подбора по слуху, игры с листа.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методы контроля.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предусматривает текущий контроль, промежуточную и итоговую аттестации.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Текущий контроль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проводится с целью контроля за качеством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 Текущий контроль осуществляется регулярно преподавателем, отметки выставляются в журнал и дневник учащегося. На основании результатов текущего контроля выставляются четвертные оценки.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Промежуточная аттестация проводится каждую четверть: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I; III полугодие – технические зачеты,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II; IV полугодие– академические зачеты.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Формами текущего и промежуточного контроля являются: зачеты, контрольные уроки, участие в тематических вечерах, классных концертах, мероприятиях культурно-просветительской, творческой деятельности школы. Практикуется: урок-концерт, урок-репетиция, мастер-класс.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Возможно применение индивидуальных графиков проведения данных видов контроля, а также содержания контрольных мероприятий.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подведения итогов реализации ДООП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исполнение программы, участие в конкурсе, концерте, конференции, и т.п.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первого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(история возникновения гитары, устройство гитары, 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М.Каркасси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Х.Сагрерас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Э.Торлаксон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Постановка игрового аппарата: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посадка гитариста, постановка правой руки, постановка левой руки.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(строй гитары, расположение нот на грифе до V лада, аппликатура, обозначения ладов, струн, пальцев обеих рук, длительности нот, метроритм, строение мажорного лада).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штрихов: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упражнения по открытым 1,2,3 струнам (арпеджио),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упражнения по открытым 4,5,6 струнам (функция баса),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звуко-извлечения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упражнения для левой руки в I позиции,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гаммообразное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движение,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несложные пьесы с аккомпанементом преподавателя для каждой струны в отдельности и в разных соотношениях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Э.Торлаксон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знакомство со штрихами легато, нон-легато,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через открытые струны в 1-2 октавы в пределах 1-й и 2-й позиций,</w:t>
      </w:r>
    </w:p>
    <w:p w:rsidR="00B4173F" w:rsidRPr="00B4173F" w:rsidRDefault="00B4173F" w:rsidP="00B4173F">
      <w:pPr>
        <w:numPr>
          <w:ilvl w:val="0"/>
          <w:numId w:val="1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Художественная работа: динамика, работа над характером произведения.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4-6 этюдов с несложной фактурой и простым метроритмом, 8-10 пьес различного характера).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репертуарные списки для 1 класса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(обр.) р.н.п. «Во саду ли в огороде»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(обр.) Венгерский народный танец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р.н.п. «Соловьем залетным»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чешская н.п.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Кукушечка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Анданте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Этюдик</w:t>
      </w:r>
      <w:proofErr w:type="spellEnd"/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Блантер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Катюша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Каурина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Каприс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Иванова-Крамская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Колыбельная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Грустная песенка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Прелюд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Андантино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Вальс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(обр.) Мексиканская песня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Вальс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Произведения, рекомендуемые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(обр.) Р.н.п. «Во кузнице»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Полька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Андантино</w:t>
      </w: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Яшнев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(обр.) «Как на матушке на Неве-реке»</w:t>
      </w: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второго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1. История исполнительского искусства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(история возникновения гитары, устройство гитары, 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А.Иванова-Крамского, В.Калинина).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2. 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VIII лада, строение минорного лада).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3. Изучение приёмов и штрихов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приемы игры арпеджио,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гаммообразное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движение,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восходящее легато,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3-х, 4-х – звучные аккорды,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упражнение для левой руки в V позиции на независимость движения пальцев,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работа над штрихами легато, нон-легато,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2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Художественная работа: динамика, работа над характером произведения;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листа, подбор по слуху;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и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., мел.) через открытые струны в 2 октавы в пределах 1-й и 2-й позиций, 4-6 этюдов с несложной фактурой и простым метроритмом,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2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р.н.п. «Под окном черемуха колышется»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Маленький вальс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«Как под горкой под горой»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Маленький испанец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Андантино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Ларгетто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 Ф.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Вальс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 Полдень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Диабелли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Менуэт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Диабелли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Модерато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Каурина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Течение реки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Нейзиндлер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Нидерландский танец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Ронкалли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Менуэт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(обр.) Колокольчики звенят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Линнеман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«Походка хомячка»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Вальс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«Чернобровый, черноокий»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Анданте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Гладков Г. Песенка черепахи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А.)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третьего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Ф.Сора,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Д.Агуадо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Г.Санза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VIII лада, термины, пунктирный ритм).</w:t>
      </w: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апояндо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работа над штрихами легато, нон-легато,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знакомство со штрихом стаккато,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глиссандо,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флажолеты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нисходящее легато,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малое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(3-4 струны),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4-х, 5-и - звучные аккорды,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numPr>
          <w:ilvl w:val="0"/>
          <w:numId w:val="2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Выбор произведений по степени сложности, характеру;</w:t>
      </w:r>
    </w:p>
    <w:p w:rsidR="00B4173F" w:rsidRPr="00B4173F" w:rsidRDefault="00B4173F" w:rsidP="00B4173F">
      <w:pPr>
        <w:numPr>
          <w:ilvl w:val="0"/>
          <w:numId w:val="2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откр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 I позиция),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2-х окт. (G-H)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гарм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: 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3 класса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Утушка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луговая» ансамбль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Яшнев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(обр.) р.н.п. «Среди долины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ровныя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Варламов А. На заре ты ее не буди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Домой на ранчо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Кошкин Н. Вальс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Чайковский П. Французская песенка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Перселл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Ария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Сайказ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Менуэт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Шилин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Ю.Блюз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Романс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Альмейда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Прелюдия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Андантино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Кост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Смолин К. Блюз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Кригер И. Менуэт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Джулиани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Аллегро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Комаровский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Вайс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С.Л. Менуэт</w:t>
      </w: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«Ты пойди, моя коровушка, домой»</w:t>
      </w: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четвёртого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А.Сеговии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Ф.Тарреги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М.Льобета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XIV лада, термины, морденты, форшлаги, триоли).</w:t>
      </w: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работа над штрихами легато, нон-легато, стаккато,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расгеадо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вибрато,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флажолеты,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легато,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большое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(5 струн),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5-и, 6-и - звучные аккорды,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2-х окт. (C-E)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гарм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типовая 2-х окт.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4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р.н.п. «Сама садик я садила»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(обр.) р.н.п. «Ах, вы, сени мои, сени»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Глинка М. Признание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Сихра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Вальс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Шишкин Н. Ночь светла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Вальс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Шарманка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Филимонов А. Осень наступила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Диенс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Милонга</w:t>
      </w:r>
      <w:proofErr w:type="spellEnd"/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Сальтарелла</w:t>
      </w:r>
      <w:proofErr w:type="spellEnd"/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Бетховен Л. Сурок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Леннон Д.,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Маккартни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Мишель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Гомес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Романс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Молино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Танец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Гедике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Сарабанда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Калинников В. Миниатюра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Уэббер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Э.Л. «Я не знаю, как его любить»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Лози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Я.А. Сарабанда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Танец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Брауэр Л.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экзаменационные программы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Милан Л.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Павана</w:t>
      </w:r>
      <w:proofErr w:type="spellEnd"/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Чимароза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Соната</w:t>
      </w: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Вила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Лобос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Прелюдия №4</w:t>
      </w: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Вариации на тему романса А. Варламова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«На заре ты ее не буди»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***</w:t>
      </w:r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Бах И.С. Сарабанда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h-moll</w:t>
      </w:r>
      <w:proofErr w:type="spellEnd"/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Альберт Г. Соната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Вариации на тему русской народной песни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«Ах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матушка, голова болит»</w:t>
      </w:r>
    </w:p>
    <w:p w:rsidR="00B4173F" w:rsidRPr="00B4173F" w:rsidRDefault="00B4173F" w:rsidP="00B4173F">
      <w:pPr>
        <w:numPr>
          <w:ilvl w:val="0"/>
          <w:numId w:val="5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Морено-Торроба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Элегия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 к уровню подготовки выпускника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Выпускник должен знать: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основы музыкальной грамоты, устройство гитары, весь диапазон строя гитары, гаммы и термины в объеме пройденного материала, историю возникновения гитары и выдающихся деятелей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гитаристики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Выпускник должен уметь: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настроить гитару, самостоятельно и правильно разобрать и выучить произведение соответствующего уровня сложности, используя всю палитру темброво-динамических красок инструмента, подобрать 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по слуху мелодию и несложный аккомпанемент, читать с листа пьесы различного характера, исполнять произведения выпускной экзаменационной программы.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учебного процесса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Рекомендации по освоению ДООП.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 настоящее время система образования России предусматривает духовно-нравственное становление детей и молодёжи, подготовку их к самостоятельной жизни, как важнейшую составляющую развития общества, государства. В наше время, когда с особой остротой стоит задача духовного возрождения общества, эстетическое воспитание должно стать приоритетным направлением развития личности человека. В связи с этим сегодня, как никогда актуально воспитательное значение искусства. Художественное воспитание как часть эстетического воспитания, формирует у детей способность воспринимать, чувствовать, оценивать искусство, наслаждаться им, а также развивать свои художественно-творческие способности в процессе творческой деятельности.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Применяемые учебные программы должны осуществлять всестороннее развитие обучающихся комплексно, связывая все виды образовательной деятельности ДМШ.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Данная программа предназначена для преподавателей, работающих с обучающимися по классу шестиструнной гитары в ДМШ и ДШИ. Наряду с традиционными формами проведение урока в программе уделяется внимание ансамблевому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развитию навыков чтения нот с листа. В перечнях произведений, рекомендуемых для исполнения в течение учебного года и на экзаменах, приведены произведения из сборников, изданных в основном за последние 20 лет.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Годовые требования программы предполагают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поступенное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гармоничное развитие технических и творческих навыков учащихся, а требования к учащимся на выпускных экзаменах позволяют использовать выпускную экзаменационную программу, как вступительную в средние и высшие музыкальные учебные заведения.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 Выбираются произведения, разнообразные по форме и содержанию. Общее количество музыкальных произведений, рекомендованных для изучения в каждом классе, дается в годовых требованиях. Предполагается, что преподаватель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обучающегося. Правильная организация учебного процесса, успешное и всестороннее развитие музыкально-исполнительских данных зависят непосредственно от того, насколько тщательно спланирована работа в целом, глубоко продуман выбор репертуара. Целесообразно составленный индивидуальный план, своевременное его выполнение так же, как и рационально подобранный учебный материал, существенным образом влияют на успешность развития обучающегося.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оценки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 оценивании учащегося, осваивающегося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программу, учитывается: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формирование устойчивого интереса к музыкальному искусству, к занятиям музыкой;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наличие исполнительской культуры, развитие музыкального мышления;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степень продвижения обучающегося, успешность личностных достижений.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оценки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качества подготовки учащегося позволяют определить уровень освоения материала, предусмотренного учебной программой. Основным критерием оценок учащегося, осваивающего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программу, является грамотное исполнение авторского текста, художественная выразительность, владение основными техническими приемами игры на инструменте.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По итогам исполнения программы выставляется оценка по пятибалльной системе.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Критерии оценки качества освоения программы представлены в таблице.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яркое, артистичное, технически качественное, продуманное и прослушанное исполнение программы, соответствующей уровню требований класса обучения; в интерпретации произведения должны присутствовать стилистическая культура, культура владения инструментом, ясное понимание художественного замысла композитора;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1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уверенное, осмысленное, достаточно качественное исполнение программы, в которой более очевидна грамотная и профессиональная работа преподавателя, нежели самого ученика, сложность программы соответствует уровню требований класса обучения;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исполнение достаточно сложной программы и присутствие в ней технической неряшливости и недостатков в культуре обращения с инструментом, при наличии в целом ясного понимания содержания исполняемой программы;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ограниченное в музыкальном отношении исполнение программы, в целом соответствующей программным требованиям класса обучения;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отсутствие исполнительской инициативы при наличии достаточной стабильности игры и наоборот, несмотря на допущенные погрешности, обучающийся всё-таки проявил в целом понимание поставленных перед ним задач, как художественного, так и технического плана, показал владение основными исполнительскими навыками;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технически некачественное исполнение программы без проявлений исполнительской инициативы, сложность программы не соответствует уровню требований класса обучения.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пособия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гитаре. – М., 1996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Бетанели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Гванета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Истина в труде (размышления о совершенствовании техники игры на классической гитаре) 2007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Варфоломеев И. Курс игры на классической гитаре. 2006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Вещицкий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Самоучитель игры на шестиструнной гитаре. Аккорды и аккомпанемент. – М., 1970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Гитман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Начальное обучение на шестиструнной гитаре. – М.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Джейми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Андреас. Концепция правильных занятий на гитаре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Дункан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Ч. Искусство игры на классической гитаре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Изнаола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Возвращаясь к удару с опорой и удару без опоры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Изучение гамм, аккордов и подбор аккомпанемента в классе гитары.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Методические рекомендации. – М., 1991 (э)</w:t>
      </w:r>
    </w:p>
    <w:p w:rsidR="00B4173F" w:rsidRPr="00B4173F" w:rsidRDefault="00B4173F" w:rsidP="00B4173F">
      <w:pPr>
        <w:numPr>
          <w:ilvl w:val="0"/>
          <w:numId w:val="5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Как научить играть на гитаре. Составитель Кузнецов В. – М., 2006 (э)</w:t>
      </w:r>
    </w:p>
    <w:p w:rsidR="00B4173F" w:rsidRPr="00B4173F" w:rsidRDefault="00B4173F" w:rsidP="00B4173F">
      <w:pPr>
        <w:numPr>
          <w:ilvl w:val="0"/>
          <w:numId w:val="5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Самоучитель игры на шестиструнной гитаре: Классика.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Аккорды. Аккомпанемент. – Новосибирск, 1998</w:t>
      </w:r>
    </w:p>
    <w:p w:rsidR="00B4173F" w:rsidRPr="00B4173F" w:rsidRDefault="00B4173F" w:rsidP="00B4173F">
      <w:pPr>
        <w:numPr>
          <w:ilvl w:val="0"/>
          <w:numId w:val="5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Катанский А., Катанский В. Школа игры на шестиструнной гитаре.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М., 2005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Кирьянов Н. Искусство игры на шестиструнной гитаре. Части 1, 2, 3, 4. – М., 1991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До инструментальный период. Новосибирск,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Инструментальный период. Части 1 и 2. – Новосибирск,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Самоучитель игры на шестиструнной гитаре. – М., 1991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Н.П. Методика преподавания игры на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шестиструннй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гитаре. – Киев, 2003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Николаев А. Самоучитель игры на шестиструнной гитаре. – Санкт-Петербург,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Ноуд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– Самоучитель игры на гитаре. 2005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Школа игры на шестиструнной гитаре. – М., 1977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Роч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 (по методу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Ф.Тарреги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 1962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Руднев С. Русский стиль игры на классической гитаре. – Тула, 2002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– Школа игры на гитаре. Части 1, 2, 3. – М., 1996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Сеговия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Моя гитарная тетрадь. – М., 1993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Тейлор Дж.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на классической гитаре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Шувалова И. Методические комментарии к циклу Игоря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Рехина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«День за днём»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Шумидуб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Школа игры на гитаре. 2001 (э)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литература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гитаре. – М., 1996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Альбом начинающего гитариста. Шестиструнная гитара. Выпуск 2. Сост. А.Иванов-Крамской. М., 1971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Бортянков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Сочинения и обработки для шестиструнной гитары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Выпуск 2. – Санкт-Петербург, 1993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Варфоломеев И. Гитара для всех. Сборник популярных произведений переложении для 6-ти струнной гитары. Выпуск 1. 1996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Варфоломеев И. Курс игры на классической гитаре. 2006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Вещицкий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Самоучитель игры на шестиструнной гитаре. Аккорды и аккомпанемент. – М., 1970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Виницкий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Детский джазовый альбом: Упражнения, этюды, пьесы, дуэты. Выпуск 2. – М., 2004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Виницкий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Классическая гитара в джазе: Блюзы и джазовые прелюдии. – М., 2005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Возьми гитару. Песни, инструментальные пьесы для гитары.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Л.Шумеев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– Москва, 2000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Гитара – 2 класс.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К.Чеченя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А.Бойко. – Киев, 2011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Гитара в ансамблях. Сост. А.Орлов. – Новосибирск, 2002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День рождения: Хрестоматия гитариста 1-5 классы ДМШ. Сост. Ю.Зырянов. – Новосибирск, 2004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Иванова Л. Детские пьесы. – Санкт-Петербург, 1998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1 (1-3 классы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2 (4 класс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3 (5 класс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Избранные этюды: Пособие для начинающих (шестиструнная гитара).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Часть 1. Сост. Л.Соколова. – Санкт-Петербург, 1996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Искусство гитарного ансамбля (Дуэты, трио, квартеты). Для младших и средних классов ДМШ и ДШИ. – Санкт-Петербург,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Альбом юного гитариста.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Ансамбли шестиструнных гитар. – Новосибирск, 2002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Самоучитель игры на шестиструнной гитаре: Классика. Аккорды. Аккомпанемент. – Новосибирск, 1998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Тетрадь юного гитариста. – Новосибирск, 2005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Чтение с листа на гитаре. – Новосибирск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Юный гитарист. Части 1 и 2. – М.,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Юный гитарист. Часть 3.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Катанский А., Катанский В. Школа игры на шестиструнной гитаре. – М., 2005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Кирьянов Н. Искусство игры на шестиструнной гитаре. Части 1, 2, 3, 4. – М., 1991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Хрестоматия шедевров популярной музыки для гитары. – М., 2002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Хрестоматия шедевров популярной музыки. Тетрадь 4. – М.,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Кузин Ю. Азбука гитариста: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Доинструментальный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период.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Инструментальный период. Части 1 и 2.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Самоучитель игры на шестиструнной гитаре. – М., 1991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Марышев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Самый-самый: Альбом гитарных пьес для юных гитаристов. – Новосибирск, 2001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Марышев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Стань виртуозом: Путешествие по стране гитары для всех начинающих. – Новосибирск, 2000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Назаров Г. Этюды для гитары. – Шадринск, 1997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Нилова Е. Мой остров гитара. Сборник пьес для классической гитары. – Новосибирск,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1.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Сост. И.Пермяков. – Ленинград, 1986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От Ренессанса до наших дней: Для шестиструнной гитары. Выпуск 2. Сост. И.Пермяков. – Ленинград, 1989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3. Сост. И.Пермяков. – Ленинград, 1992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Паганини Н. Пьесы для шестиструнной гитары. Сост. В.Смирнов. – М.,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1-2 классы детских музыкальных школ. Выпуск 5. Сост. Е.Ларичев. – М., 1982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3-5 классы детских музыкальных школ. Выпуск 5. Сост. Е.Ларичев. – М., 1982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I-II классы детских музыкальных школ. Выпуск 3. Сост. Е.Ларичев. – М., 1979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Произведения для шестиструнной гитары. Уральская коллекция. Сост. В.Козлов. – Челябинск,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Школа игры на шестиструнной гитаре. – М., 1977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– Школа игры на гитаре. Части 1, 2, 3. – М.,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Сеговия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Моя гитарная тетрадь. – М., 1993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Серебряные струны.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Л.Шумеев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Москва,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Соколова Л. Чтение нот. Пособие для начинающих (шестиструнная гитара). – Санкт-Петербург,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Фетисов Г. Хрестоматия гитариста. Тетрадь 2. – М.,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Хрестоматия гитариста (шестиструнная гитара). Детская музыкальная школа 1-3 классы. Сост. Е.Ларичев. – М., 1983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Уроки мастерства. Для средних классов.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Н.Иванова-Крамская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М., 2005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Шестиструнная гитара. 1 класс. Для музыкальных школ.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В.Гуркин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Ростов-на-Дону,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Шестиструнная гитара. 3-4 классы. Для музыкальных школ.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В.Гуркин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Ростов-на-Дону,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Хрестоматия гитариста: Шестиструнная гитара. Педагогический репертуар. Детская музыкальная школа 4-5 классы. Сост. Е.Ларичев. – М., 1990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Этюды для шестиструнной гитары. 1-7 классы ДМШ. Младшие курсы музыкального училища.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В.Агабабов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М.,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для дуэта гитар.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Б.Инкижинов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Новосибирск,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Хухро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Канарейка нам пропела. Пьесы для начинающих гитаристов. – Новосибирск, 1999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Хухро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Малыш играет на гитаре. – Новосибирск, 1998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Чеботарева И. Детские пьесы для шестиструнной гитары. – Омск, 2001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Подготовительный и первый классы детской музыкальной школы.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(2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(3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Шестиструнная гитара: Учебный репертуар детских музыкальных школ (4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1990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(5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3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4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5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струн: Избранные произведения средней сложности для классической гитары. – Минск, 1994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Шипулин А. Моя гитара. Хрестоматия для юных гитаристов. – Новосибирск,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Этюды для шестиструнной гитары на разные виды техники.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В.Славский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1981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Этюды для шестиструнной гитары. Сост. И.Пермяков. – М., 1987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Carulli-Carcassi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Gitarova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skola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– Bratislava, 1985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1. – Leipzig, 1977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2. – Leipzig, 1978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3. – Leipzig, 1979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4. – Leipzig, 1980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5. – Leipzig, 1981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73132A" w:rsidRDefault="0073132A"/>
    <w:sectPr w:rsidR="0073132A" w:rsidSect="001B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5F3"/>
    <w:multiLevelType w:val="multilevel"/>
    <w:tmpl w:val="F10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DE1"/>
    <w:multiLevelType w:val="multilevel"/>
    <w:tmpl w:val="E53A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C0D38"/>
    <w:multiLevelType w:val="multilevel"/>
    <w:tmpl w:val="A4F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4788B"/>
    <w:multiLevelType w:val="multilevel"/>
    <w:tmpl w:val="92D8EA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15A6E"/>
    <w:multiLevelType w:val="multilevel"/>
    <w:tmpl w:val="0842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62592"/>
    <w:multiLevelType w:val="multilevel"/>
    <w:tmpl w:val="0A0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C771A"/>
    <w:multiLevelType w:val="multilevel"/>
    <w:tmpl w:val="E4DE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B50F8"/>
    <w:multiLevelType w:val="multilevel"/>
    <w:tmpl w:val="14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57E05"/>
    <w:multiLevelType w:val="multilevel"/>
    <w:tmpl w:val="AF7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614A2"/>
    <w:multiLevelType w:val="multilevel"/>
    <w:tmpl w:val="A360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C45CA"/>
    <w:multiLevelType w:val="multilevel"/>
    <w:tmpl w:val="161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07F49"/>
    <w:multiLevelType w:val="multilevel"/>
    <w:tmpl w:val="E6C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F62A9"/>
    <w:multiLevelType w:val="multilevel"/>
    <w:tmpl w:val="521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461625"/>
    <w:multiLevelType w:val="multilevel"/>
    <w:tmpl w:val="600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35A23"/>
    <w:multiLevelType w:val="multilevel"/>
    <w:tmpl w:val="7F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D38C1"/>
    <w:multiLevelType w:val="multilevel"/>
    <w:tmpl w:val="E9DC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167F3"/>
    <w:multiLevelType w:val="multilevel"/>
    <w:tmpl w:val="4A3A1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3704B"/>
    <w:multiLevelType w:val="multilevel"/>
    <w:tmpl w:val="8AD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15AD"/>
    <w:multiLevelType w:val="multilevel"/>
    <w:tmpl w:val="8EF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6CA4"/>
    <w:multiLevelType w:val="multilevel"/>
    <w:tmpl w:val="388474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551"/>
    <w:multiLevelType w:val="multilevel"/>
    <w:tmpl w:val="FD1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4025F"/>
    <w:multiLevelType w:val="multilevel"/>
    <w:tmpl w:val="4F0C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C1ADE"/>
    <w:multiLevelType w:val="multilevel"/>
    <w:tmpl w:val="E58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F4DBF"/>
    <w:multiLevelType w:val="multilevel"/>
    <w:tmpl w:val="D60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303F4D"/>
    <w:multiLevelType w:val="multilevel"/>
    <w:tmpl w:val="3B7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B4D2E"/>
    <w:multiLevelType w:val="multilevel"/>
    <w:tmpl w:val="5FC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236F9F"/>
    <w:multiLevelType w:val="multilevel"/>
    <w:tmpl w:val="D5C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951244"/>
    <w:multiLevelType w:val="multilevel"/>
    <w:tmpl w:val="D1E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53895"/>
    <w:multiLevelType w:val="multilevel"/>
    <w:tmpl w:val="F33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8F3D12"/>
    <w:multiLevelType w:val="multilevel"/>
    <w:tmpl w:val="4BE0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73B69"/>
    <w:multiLevelType w:val="multilevel"/>
    <w:tmpl w:val="C5EC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D20C65"/>
    <w:multiLevelType w:val="multilevel"/>
    <w:tmpl w:val="7CC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00418E"/>
    <w:multiLevelType w:val="multilevel"/>
    <w:tmpl w:val="61E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B273B0"/>
    <w:multiLevelType w:val="multilevel"/>
    <w:tmpl w:val="0F6C1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D3EF1"/>
    <w:multiLevelType w:val="multilevel"/>
    <w:tmpl w:val="A4307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C3015F"/>
    <w:multiLevelType w:val="multilevel"/>
    <w:tmpl w:val="84BCA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996C73"/>
    <w:multiLevelType w:val="multilevel"/>
    <w:tmpl w:val="835CE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E87EA5"/>
    <w:multiLevelType w:val="multilevel"/>
    <w:tmpl w:val="BF62B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C60B3D"/>
    <w:multiLevelType w:val="multilevel"/>
    <w:tmpl w:val="B1A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E75397"/>
    <w:multiLevelType w:val="multilevel"/>
    <w:tmpl w:val="43C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1A68CA"/>
    <w:multiLevelType w:val="multilevel"/>
    <w:tmpl w:val="B8A4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F14F3C"/>
    <w:multiLevelType w:val="multilevel"/>
    <w:tmpl w:val="E358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6B6BC7"/>
    <w:multiLevelType w:val="multilevel"/>
    <w:tmpl w:val="E22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B4795"/>
    <w:multiLevelType w:val="multilevel"/>
    <w:tmpl w:val="C15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C11513"/>
    <w:multiLevelType w:val="multilevel"/>
    <w:tmpl w:val="7F7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623A37"/>
    <w:multiLevelType w:val="multilevel"/>
    <w:tmpl w:val="1B4CB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0B0938"/>
    <w:multiLevelType w:val="multilevel"/>
    <w:tmpl w:val="A1CCB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36433A"/>
    <w:multiLevelType w:val="multilevel"/>
    <w:tmpl w:val="7D76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4D2919"/>
    <w:multiLevelType w:val="multilevel"/>
    <w:tmpl w:val="A976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0055FF"/>
    <w:multiLevelType w:val="multilevel"/>
    <w:tmpl w:val="E27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161752"/>
    <w:multiLevelType w:val="multilevel"/>
    <w:tmpl w:val="C6C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F01324"/>
    <w:multiLevelType w:val="multilevel"/>
    <w:tmpl w:val="F45CE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D56AEF"/>
    <w:multiLevelType w:val="multilevel"/>
    <w:tmpl w:val="469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FE7808"/>
    <w:multiLevelType w:val="multilevel"/>
    <w:tmpl w:val="26FC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2D3EA6"/>
    <w:multiLevelType w:val="multilevel"/>
    <w:tmpl w:val="5B4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DB0915"/>
    <w:multiLevelType w:val="multilevel"/>
    <w:tmpl w:val="3678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45611F"/>
    <w:multiLevelType w:val="multilevel"/>
    <w:tmpl w:val="6C4C0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AF7702"/>
    <w:multiLevelType w:val="multilevel"/>
    <w:tmpl w:val="CDD4C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DF7F7B"/>
    <w:multiLevelType w:val="multilevel"/>
    <w:tmpl w:val="EC0AF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716E09"/>
    <w:multiLevelType w:val="multilevel"/>
    <w:tmpl w:val="41C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40"/>
  </w:num>
  <w:num w:numId="4">
    <w:abstractNumId w:val="23"/>
  </w:num>
  <w:num w:numId="5">
    <w:abstractNumId w:val="0"/>
  </w:num>
  <w:num w:numId="6">
    <w:abstractNumId w:val="52"/>
  </w:num>
  <w:num w:numId="7">
    <w:abstractNumId w:val="43"/>
  </w:num>
  <w:num w:numId="8">
    <w:abstractNumId w:val="10"/>
  </w:num>
  <w:num w:numId="9">
    <w:abstractNumId w:val="42"/>
  </w:num>
  <w:num w:numId="10">
    <w:abstractNumId w:val="39"/>
  </w:num>
  <w:num w:numId="11">
    <w:abstractNumId w:val="50"/>
  </w:num>
  <w:num w:numId="12">
    <w:abstractNumId w:val="22"/>
  </w:num>
  <w:num w:numId="13">
    <w:abstractNumId w:val="55"/>
  </w:num>
  <w:num w:numId="14">
    <w:abstractNumId w:val="30"/>
  </w:num>
  <w:num w:numId="15">
    <w:abstractNumId w:val="12"/>
  </w:num>
  <w:num w:numId="16">
    <w:abstractNumId w:val="33"/>
  </w:num>
  <w:num w:numId="17">
    <w:abstractNumId w:val="6"/>
  </w:num>
  <w:num w:numId="18">
    <w:abstractNumId w:val="29"/>
  </w:num>
  <w:num w:numId="19">
    <w:abstractNumId w:val="54"/>
  </w:num>
  <w:num w:numId="20">
    <w:abstractNumId w:val="27"/>
  </w:num>
  <w:num w:numId="21">
    <w:abstractNumId w:val="51"/>
  </w:num>
  <w:num w:numId="22">
    <w:abstractNumId w:val="13"/>
  </w:num>
  <w:num w:numId="23">
    <w:abstractNumId w:val="9"/>
  </w:num>
  <w:num w:numId="24">
    <w:abstractNumId w:val="5"/>
  </w:num>
  <w:num w:numId="25">
    <w:abstractNumId w:val="8"/>
  </w:num>
  <w:num w:numId="26">
    <w:abstractNumId w:val="35"/>
  </w:num>
  <w:num w:numId="27">
    <w:abstractNumId w:val="17"/>
  </w:num>
  <w:num w:numId="28">
    <w:abstractNumId w:val="11"/>
  </w:num>
  <w:num w:numId="29">
    <w:abstractNumId w:val="26"/>
  </w:num>
  <w:num w:numId="30">
    <w:abstractNumId w:val="45"/>
  </w:num>
  <w:num w:numId="31">
    <w:abstractNumId w:val="1"/>
  </w:num>
  <w:num w:numId="32">
    <w:abstractNumId w:val="25"/>
  </w:num>
  <w:num w:numId="33">
    <w:abstractNumId w:val="34"/>
  </w:num>
  <w:num w:numId="34">
    <w:abstractNumId w:val="7"/>
  </w:num>
  <w:num w:numId="35">
    <w:abstractNumId w:val="15"/>
  </w:num>
  <w:num w:numId="36">
    <w:abstractNumId w:val="41"/>
  </w:num>
  <w:num w:numId="37">
    <w:abstractNumId w:val="28"/>
  </w:num>
  <w:num w:numId="38">
    <w:abstractNumId w:val="48"/>
  </w:num>
  <w:num w:numId="39">
    <w:abstractNumId w:val="20"/>
  </w:num>
  <w:num w:numId="40">
    <w:abstractNumId w:val="2"/>
  </w:num>
  <w:num w:numId="41">
    <w:abstractNumId w:val="4"/>
  </w:num>
  <w:num w:numId="42">
    <w:abstractNumId w:val="57"/>
  </w:num>
  <w:num w:numId="43">
    <w:abstractNumId w:val="24"/>
  </w:num>
  <w:num w:numId="44">
    <w:abstractNumId w:val="21"/>
  </w:num>
  <w:num w:numId="45">
    <w:abstractNumId w:val="47"/>
  </w:num>
  <w:num w:numId="46">
    <w:abstractNumId w:val="46"/>
  </w:num>
  <w:num w:numId="47">
    <w:abstractNumId w:val="38"/>
  </w:num>
  <w:num w:numId="48">
    <w:abstractNumId w:val="53"/>
  </w:num>
  <w:num w:numId="49">
    <w:abstractNumId w:val="59"/>
  </w:num>
  <w:num w:numId="50">
    <w:abstractNumId w:val="44"/>
  </w:num>
  <w:num w:numId="51">
    <w:abstractNumId w:val="16"/>
  </w:num>
  <w:num w:numId="52">
    <w:abstractNumId w:val="18"/>
  </w:num>
  <w:num w:numId="53">
    <w:abstractNumId w:val="32"/>
  </w:num>
  <w:num w:numId="54">
    <w:abstractNumId w:val="37"/>
  </w:num>
  <w:num w:numId="55">
    <w:abstractNumId w:val="36"/>
  </w:num>
  <w:num w:numId="56">
    <w:abstractNumId w:val="56"/>
  </w:num>
  <w:num w:numId="57">
    <w:abstractNumId w:val="49"/>
  </w:num>
  <w:num w:numId="58">
    <w:abstractNumId w:val="58"/>
  </w:num>
  <w:num w:numId="59">
    <w:abstractNumId w:val="19"/>
  </w:num>
  <w:num w:numId="60">
    <w:abstractNumId w:val="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173F"/>
    <w:rsid w:val="001B79FC"/>
    <w:rsid w:val="00335A67"/>
    <w:rsid w:val="0073132A"/>
    <w:rsid w:val="00B4173F"/>
    <w:rsid w:val="00BB6691"/>
    <w:rsid w:val="00C5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7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17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4261</Words>
  <Characters>24290</Characters>
  <Application>Microsoft Office Word</Application>
  <DocSecurity>0</DocSecurity>
  <Lines>202</Lines>
  <Paragraphs>56</Paragraphs>
  <ScaleCrop>false</ScaleCrop>
  <Company>Reanimator Extreme Edition</Company>
  <LinksUpToDate>false</LinksUpToDate>
  <CharactersWithSpaces>28495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2021-07-29T17:54:00Z</dcterms:created>
  <dcterms:modified xsi:type="dcterms:W3CDTF">2021-07-29T18:02:00Z</dcterms:modified>
</cp:coreProperties>
</file>